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8027" w14:textId="5B7A52E6" w:rsidR="000903A4" w:rsidRDefault="000903A4"/>
    <w:p w14:paraId="7ECB2FC5" w14:textId="53F4A030" w:rsidR="000903A4" w:rsidRPr="001507FC" w:rsidRDefault="000903A4">
      <w:pPr>
        <w:rPr>
          <w:sz w:val="24"/>
          <w:szCs w:val="24"/>
        </w:rPr>
      </w:pPr>
    </w:p>
    <w:p w14:paraId="42A37901" w14:textId="4F95C2F9" w:rsidR="00DF73D8" w:rsidRDefault="00302318" w:rsidP="00221C6A">
      <w:pPr>
        <w:pStyle w:val="ListParagraph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Çocuk </w:t>
      </w:r>
      <w:r w:rsidR="000903A4" w:rsidRPr="001507FC">
        <w:rPr>
          <w:rFonts w:cstheme="minorHAnsi"/>
          <w:b/>
          <w:bCs/>
          <w:sz w:val="28"/>
          <w:szCs w:val="28"/>
        </w:rPr>
        <w:t xml:space="preserve">Cinsel İstismar Acil </w:t>
      </w:r>
      <w:r>
        <w:rPr>
          <w:rFonts w:cstheme="minorHAnsi"/>
          <w:b/>
          <w:bCs/>
          <w:sz w:val="28"/>
          <w:szCs w:val="28"/>
        </w:rPr>
        <w:t xml:space="preserve">Adli </w:t>
      </w:r>
      <w:r w:rsidR="000903A4" w:rsidRPr="001507FC">
        <w:rPr>
          <w:rFonts w:cstheme="minorHAnsi"/>
          <w:b/>
          <w:bCs/>
          <w:sz w:val="28"/>
          <w:szCs w:val="28"/>
        </w:rPr>
        <w:t>Bildirim ve Destek Hatları</w:t>
      </w:r>
    </w:p>
    <w:p w14:paraId="323E693C" w14:textId="13EAB074" w:rsidR="00AB0BC5" w:rsidRDefault="00AB0BC5" w:rsidP="001507FC">
      <w:pPr>
        <w:pStyle w:val="ListParagraph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D7FFBA7" w14:textId="77777777" w:rsidR="00AB0BC5" w:rsidRDefault="00AB0BC5" w:rsidP="001507FC">
      <w:pPr>
        <w:pStyle w:val="ListParagraph"/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D334E83" w14:textId="41A807CF" w:rsidR="00AB0BC5" w:rsidRPr="00AB0BC5" w:rsidRDefault="00AB0BC5" w:rsidP="00AB0BC5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lang w:eastAsia="tr-TR"/>
        </w:rPr>
      </w:pPr>
      <w:r w:rsidRPr="00AB0BC5">
        <w:rPr>
          <w:rFonts w:eastAsia="Times New Roman" w:cstheme="minorHAnsi"/>
          <w:lang w:eastAsia="tr-TR"/>
        </w:rPr>
        <w:t xml:space="preserve">“Adli ve idari merciler, kolluk görevlileri, sağlık ve eğitim </w:t>
      </w:r>
      <w:r>
        <w:rPr>
          <w:rFonts w:eastAsia="Times New Roman" w:cstheme="minorHAnsi"/>
          <w:lang w:eastAsia="tr-TR"/>
        </w:rPr>
        <w:t>k</w:t>
      </w:r>
      <w:r w:rsidRPr="00AB0BC5">
        <w:rPr>
          <w:rFonts w:eastAsia="Times New Roman" w:cstheme="minorHAnsi"/>
          <w:lang w:eastAsia="tr-TR"/>
        </w:rPr>
        <w:t>uruluşları, sivil toplum kuruluşları, korunma ihtiyacı olan çocuğu Sosyal Hizmetler ve Çocuk Esirgeme Kurumuna bildirmekle yükümlüdür</w:t>
      </w:r>
      <w:r w:rsidR="001441B5">
        <w:rPr>
          <w:rFonts w:eastAsia="Times New Roman" w:cstheme="minorHAnsi"/>
          <w:lang w:eastAsia="tr-TR"/>
        </w:rPr>
        <w:t>.</w:t>
      </w:r>
      <w:r w:rsidRPr="00AB0BC5">
        <w:rPr>
          <w:rFonts w:eastAsia="Times New Roman" w:cstheme="minorHAnsi"/>
          <w:lang w:eastAsia="tr-TR"/>
        </w:rPr>
        <w:t>”</w:t>
      </w:r>
    </w:p>
    <w:p w14:paraId="4895E5B3" w14:textId="6640713B" w:rsidR="00BB5946" w:rsidRDefault="000903A4" w:rsidP="00BB594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lang w:eastAsia="tr-TR"/>
        </w:rPr>
      </w:pPr>
      <w:r w:rsidRPr="00BB5946">
        <w:rPr>
          <w:rFonts w:eastAsia="Times New Roman" w:cstheme="minorHAnsi"/>
          <w:lang w:eastAsia="tr-TR"/>
        </w:rPr>
        <w:t>Hukuken</w:t>
      </w:r>
      <w:bookmarkStart w:id="0" w:name="_GoBack"/>
      <w:bookmarkEnd w:id="0"/>
      <w:r w:rsidRPr="00BB5946">
        <w:rPr>
          <w:rFonts w:eastAsia="Times New Roman" w:cstheme="minorHAnsi"/>
          <w:lang w:eastAsia="tr-TR"/>
        </w:rPr>
        <w:t xml:space="preserve"> işlenmekte olan veya işlenmiş olan bir suçun varlığı halinde bu durumun </w:t>
      </w:r>
      <w:r w:rsidR="00DF73D8" w:rsidRPr="00BB5946">
        <w:rPr>
          <w:rFonts w:eastAsia="Times New Roman" w:cstheme="minorHAnsi"/>
          <w:lang w:eastAsia="tr-TR"/>
        </w:rPr>
        <w:t xml:space="preserve">aşağıda sıralanan </w:t>
      </w:r>
      <w:r w:rsidRPr="00BB5946">
        <w:rPr>
          <w:rFonts w:eastAsia="Times New Roman" w:cstheme="minorHAnsi"/>
          <w:lang w:eastAsia="tr-TR"/>
        </w:rPr>
        <w:t xml:space="preserve">yetkili makamlara bildirilmesi </w:t>
      </w:r>
      <w:r w:rsidR="00DF73D8" w:rsidRPr="00BB5946">
        <w:rPr>
          <w:rFonts w:eastAsia="Times New Roman" w:cstheme="minorHAnsi"/>
          <w:lang w:eastAsia="tr-TR"/>
        </w:rPr>
        <w:t xml:space="preserve">ya da en </w:t>
      </w:r>
      <w:r w:rsidRPr="00BB5946">
        <w:rPr>
          <w:rFonts w:eastAsia="Times New Roman" w:cstheme="minorHAnsi"/>
          <w:lang w:eastAsia="tr-TR"/>
        </w:rPr>
        <w:t>yakın Polis Merkezine veya Cumhuriyet Savcılığına bildirimde bulunulması gerekir.</w:t>
      </w:r>
    </w:p>
    <w:p w14:paraId="1124A8C0" w14:textId="77777777" w:rsidR="00BB5946" w:rsidRPr="00BB5946" w:rsidRDefault="00DF73D8" w:rsidP="00BB594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BB5946">
        <w:rPr>
          <w:rFonts w:cstheme="minorHAnsi"/>
        </w:rPr>
        <w:t>Mesai saatleri dışı</w:t>
      </w:r>
      <w:r w:rsidR="00631937" w:rsidRPr="00BB5946">
        <w:rPr>
          <w:rFonts w:cstheme="minorHAnsi"/>
        </w:rPr>
        <w:t xml:space="preserve"> veya</w:t>
      </w:r>
      <w:r w:rsidRPr="00BB5946">
        <w:rPr>
          <w:rFonts w:cstheme="minorHAnsi"/>
        </w:rPr>
        <w:t xml:space="preserve"> savcılığa ulaşım zor ise bulunduğu bölgede ki en yakın karakola başvurularak suç duyurusunda bulunulmalıdır.</w:t>
      </w:r>
    </w:p>
    <w:p w14:paraId="4D02B84E" w14:textId="77777777" w:rsidR="00BB5946" w:rsidRPr="00BB5946" w:rsidRDefault="00DF73D8" w:rsidP="00BB594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BB5946">
        <w:rPr>
          <w:rFonts w:cstheme="minorHAnsi"/>
        </w:rPr>
        <w:t xml:space="preserve">Karakola yapılan başvuru üzerine zaman kaybetmeden çocuğun Çocuk İzlem Merkezi’nde (ÇİM) </w:t>
      </w:r>
      <w:r w:rsidR="00631937" w:rsidRPr="00BB5946">
        <w:rPr>
          <w:rFonts w:cstheme="minorHAnsi"/>
        </w:rPr>
        <w:t xml:space="preserve">çocuğun </w:t>
      </w:r>
      <w:r w:rsidRPr="00BB5946">
        <w:rPr>
          <w:rFonts w:cstheme="minorHAnsi"/>
        </w:rPr>
        <w:t>rızasını da alarak muayenesinin yapılması gereklidir.</w:t>
      </w:r>
    </w:p>
    <w:p w14:paraId="12CC008E" w14:textId="77777777" w:rsidR="00BB5946" w:rsidRPr="00BB5946" w:rsidRDefault="00DF73D8" w:rsidP="00BB594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BB5946">
        <w:rPr>
          <w:rFonts w:cstheme="minorHAnsi"/>
        </w:rPr>
        <w:t>Çocuğun istismar edildiği sırada üzerinde bulunan iç çamaşırı ve kıyafetlerin de yanında getirilerek Adli Tıp Kurumu'nda inceleme yapılmak üzere adli makamlara verilmesi önemlidir.</w:t>
      </w:r>
    </w:p>
    <w:p w14:paraId="4E3478FA" w14:textId="5CD445A5" w:rsidR="00BB5946" w:rsidRPr="00BB5946" w:rsidRDefault="00D456FD" w:rsidP="00BB594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BB5946">
        <w:rPr>
          <w:rFonts w:cstheme="minorHAnsi"/>
        </w:rPr>
        <w:t>Ç</w:t>
      </w:r>
      <w:r w:rsidR="00DF73D8" w:rsidRPr="00BB5946">
        <w:rPr>
          <w:rFonts w:cstheme="minorHAnsi"/>
        </w:rPr>
        <w:t>ocu</w:t>
      </w:r>
      <w:r w:rsidRPr="00BB5946">
        <w:rPr>
          <w:rFonts w:cstheme="minorHAnsi"/>
        </w:rPr>
        <w:t>k</w:t>
      </w:r>
      <w:r w:rsidR="00DF73D8" w:rsidRPr="00BB5946">
        <w:rPr>
          <w:rFonts w:cstheme="minorHAnsi"/>
        </w:rPr>
        <w:t xml:space="preserve"> ve ailesi</w:t>
      </w:r>
      <w:r w:rsidR="00631937" w:rsidRPr="00BB5946">
        <w:rPr>
          <w:rFonts w:cstheme="minorHAnsi"/>
        </w:rPr>
        <w:t>ne</w:t>
      </w:r>
      <w:r w:rsidR="001507FC" w:rsidRPr="00BB5946">
        <w:rPr>
          <w:rFonts w:cstheme="minorHAnsi"/>
        </w:rPr>
        <w:t xml:space="preserve"> ihtiyaç duy</w:t>
      </w:r>
      <w:r w:rsidR="00631937" w:rsidRPr="00BB5946">
        <w:rPr>
          <w:rFonts w:cstheme="minorHAnsi"/>
        </w:rPr>
        <w:t>ul</w:t>
      </w:r>
      <w:r w:rsidR="001507FC" w:rsidRPr="00BB5946">
        <w:rPr>
          <w:rFonts w:cstheme="minorHAnsi"/>
        </w:rPr>
        <w:t xml:space="preserve">duğu </w:t>
      </w:r>
      <w:r w:rsidR="00631937" w:rsidRPr="00BB5946">
        <w:rPr>
          <w:rFonts w:cstheme="minorHAnsi"/>
        </w:rPr>
        <w:t>takdirde</w:t>
      </w:r>
      <w:r w:rsidR="00DF73D8" w:rsidRPr="00BB5946">
        <w:rPr>
          <w:rFonts w:cstheme="minorHAnsi"/>
        </w:rPr>
        <w:t xml:space="preserve"> barodan ücretsiz bir avukat </w:t>
      </w:r>
      <w:r w:rsidR="00DF73D8" w:rsidRPr="005648A1">
        <w:rPr>
          <w:rFonts w:cstheme="minorHAnsi"/>
        </w:rPr>
        <w:t>at</w:t>
      </w:r>
      <w:r w:rsidR="005648A1" w:rsidRPr="005648A1">
        <w:rPr>
          <w:rFonts w:cstheme="minorHAnsi"/>
        </w:rPr>
        <w:t>an</w:t>
      </w:r>
      <w:r w:rsidRPr="005648A1">
        <w:rPr>
          <w:rFonts w:cstheme="minorHAnsi"/>
        </w:rPr>
        <w:t>ma</w:t>
      </w:r>
      <w:r w:rsidR="00631937" w:rsidRPr="005648A1">
        <w:rPr>
          <w:rFonts w:cstheme="minorHAnsi"/>
        </w:rPr>
        <w:t>lı</w:t>
      </w:r>
      <w:r w:rsidR="00631937" w:rsidRPr="00BB5946">
        <w:rPr>
          <w:rFonts w:cstheme="minorHAnsi"/>
        </w:rPr>
        <w:t xml:space="preserve"> </w:t>
      </w:r>
      <w:r w:rsidR="005648A1" w:rsidRPr="00BB5946">
        <w:rPr>
          <w:rFonts w:cstheme="minorHAnsi"/>
        </w:rPr>
        <w:t>ve Çocuk</w:t>
      </w:r>
      <w:r w:rsidRPr="00BB5946">
        <w:rPr>
          <w:rFonts w:cstheme="minorHAnsi"/>
        </w:rPr>
        <w:t xml:space="preserve"> İzlem Merkezi </w:t>
      </w:r>
      <w:r w:rsidR="00DF73D8" w:rsidRPr="00BB5946">
        <w:rPr>
          <w:rFonts w:cstheme="minorHAnsi"/>
        </w:rPr>
        <w:t xml:space="preserve">sürecinde </w:t>
      </w:r>
      <w:r w:rsidRPr="00BB5946">
        <w:rPr>
          <w:rFonts w:cstheme="minorHAnsi"/>
        </w:rPr>
        <w:t xml:space="preserve">çocuğa </w:t>
      </w:r>
      <w:r w:rsidR="00DF73D8" w:rsidRPr="00BB5946">
        <w:rPr>
          <w:rFonts w:cstheme="minorHAnsi"/>
        </w:rPr>
        <w:t xml:space="preserve">psikolojik destek </w:t>
      </w:r>
      <w:r w:rsidRPr="00BB5946">
        <w:rPr>
          <w:rFonts w:cstheme="minorHAnsi"/>
        </w:rPr>
        <w:t>verilmesi konusunda talepte bulunulmalıdır.</w:t>
      </w:r>
    </w:p>
    <w:p w14:paraId="1DDC6043" w14:textId="77777777" w:rsidR="00BB5946" w:rsidRPr="00BB5946" w:rsidRDefault="00DF73D8" w:rsidP="00BB594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BB5946">
        <w:rPr>
          <w:rFonts w:cstheme="minorHAnsi"/>
        </w:rPr>
        <w:t xml:space="preserve">ÇİM olmayan illerde </w:t>
      </w:r>
      <w:r w:rsidR="00631937" w:rsidRPr="00BB5946">
        <w:rPr>
          <w:rFonts w:cstheme="minorHAnsi"/>
        </w:rPr>
        <w:t xml:space="preserve">bu </w:t>
      </w:r>
      <w:r w:rsidRPr="00BB5946">
        <w:rPr>
          <w:rFonts w:cstheme="minorHAnsi"/>
        </w:rPr>
        <w:t>süreç Çocuk Şube Müdürlükleri’nde yapılmalı</w:t>
      </w:r>
      <w:r w:rsidR="00631937" w:rsidRPr="00BB5946">
        <w:rPr>
          <w:rFonts w:cstheme="minorHAnsi"/>
        </w:rPr>
        <w:t xml:space="preserve"> ve</w:t>
      </w:r>
      <w:r w:rsidRPr="00BB5946">
        <w:rPr>
          <w:rFonts w:cstheme="minorHAnsi"/>
        </w:rPr>
        <w:t xml:space="preserve"> </w:t>
      </w:r>
      <w:r w:rsidR="00631937" w:rsidRPr="00BB5946">
        <w:rPr>
          <w:rFonts w:cstheme="minorHAnsi"/>
        </w:rPr>
        <w:t>ç</w:t>
      </w:r>
      <w:r w:rsidRPr="00BB5946">
        <w:rPr>
          <w:rFonts w:cstheme="minorHAnsi"/>
        </w:rPr>
        <w:t>ocu</w:t>
      </w:r>
      <w:r w:rsidR="00631937" w:rsidRPr="00BB5946">
        <w:rPr>
          <w:rFonts w:cstheme="minorHAnsi"/>
        </w:rPr>
        <w:t>ğun istismar</w:t>
      </w:r>
      <w:r w:rsidRPr="00BB5946">
        <w:rPr>
          <w:rFonts w:cstheme="minorHAnsi"/>
        </w:rPr>
        <w:t xml:space="preserve"> beyanı mutlaka yasa gereği sesli ve görüntülü kayda alınmalıdır.</w:t>
      </w:r>
    </w:p>
    <w:p w14:paraId="0827C661" w14:textId="77777777" w:rsidR="00BB5946" w:rsidRPr="00BB5946" w:rsidRDefault="00D456FD" w:rsidP="00BB594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BB5946">
        <w:rPr>
          <w:rFonts w:cstheme="minorHAnsi"/>
        </w:rPr>
        <w:t xml:space="preserve">Çocuğun yargı sürecinde çocuğun ruh sağlığının </w:t>
      </w:r>
      <w:r w:rsidR="00631937" w:rsidRPr="00BB5946">
        <w:rPr>
          <w:rFonts w:cstheme="minorHAnsi"/>
        </w:rPr>
        <w:t>k</w:t>
      </w:r>
      <w:r w:rsidRPr="00BB5946">
        <w:rPr>
          <w:rFonts w:cstheme="minorHAnsi"/>
        </w:rPr>
        <w:t xml:space="preserve">oruma </w:t>
      </w:r>
      <w:r w:rsidR="00631937" w:rsidRPr="00BB5946">
        <w:rPr>
          <w:rFonts w:cstheme="minorHAnsi"/>
        </w:rPr>
        <w:t>k</w:t>
      </w:r>
      <w:r w:rsidRPr="00BB5946">
        <w:rPr>
          <w:rFonts w:cstheme="minorHAnsi"/>
        </w:rPr>
        <w:t>anunu 5. maddesi gereğince Çocuk Mahkemesinden Sağlık Tedbiri kararı aldırılmalıdır.</w:t>
      </w:r>
      <w:r w:rsidR="00817DC7" w:rsidRPr="00BB5946">
        <w:rPr>
          <w:rFonts w:cstheme="minorHAnsi"/>
        </w:rPr>
        <w:t xml:space="preserve"> ÇİM bünyesinde çalışan meslek elemanlarının ÇİM olmayan yerlerde Çocuk Şube Müdürlükleri, Çocuk Büroları da bu tedbirin verilmesini sağlayabilirler.</w:t>
      </w:r>
    </w:p>
    <w:p w14:paraId="5A54D658" w14:textId="1B5ADEF3" w:rsidR="00D456FD" w:rsidRPr="00BB5946" w:rsidRDefault="00817DC7" w:rsidP="00BB594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r w:rsidRPr="00BB5946">
        <w:rPr>
          <w:rFonts w:cstheme="minorHAnsi"/>
        </w:rPr>
        <w:t>Mahkeme sürecinde çocuğun sanık ile karşı karşıya gelmemesi,</w:t>
      </w:r>
      <w:r w:rsidR="001507FC" w:rsidRPr="00BB5946">
        <w:rPr>
          <w:rFonts w:cstheme="minorHAnsi"/>
        </w:rPr>
        <w:t xml:space="preserve"> ç</w:t>
      </w:r>
      <w:r w:rsidRPr="00BB5946">
        <w:rPr>
          <w:rFonts w:cstheme="minorHAnsi"/>
        </w:rPr>
        <w:t>ocuğun bir sosyal hizmet uzmanı veya psikolog ile görüşme yaptıktan sonra ifadesine geçilmel</w:t>
      </w:r>
      <w:r w:rsidR="001507FC" w:rsidRPr="00BB5946">
        <w:rPr>
          <w:rFonts w:cstheme="minorHAnsi"/>
        </w:rPr>
        <w:t>idir.</w:t>
      </w:r>
      <w:r w:rsidRPr="00BB5946">
        <w:rPr>
          <w:rFonts w:cstheme="minorHAnsi"/>
        </w:rPr>
        <w:t xml:space="preserve"> </w:t>
      </w:r>
    </w:p>
    <w:tbl>
      <w:tblPr>
        <w:tblpPr w:leftFromText="180" w:rightFromText="180" w:vertAnchor="text" w:horzAnchor="page" w:tblpXSpec="center" w:tblpY="265"/>
        <w:tblOverlap w:val="never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3"/>
        <w:gridCol w:w="2270"/>
        <w:gridCol w:w="2093"/>
      </w:tblGrid>
      <w:tr w:rsidR="00221C6A" w:rsidRPr="001507FC" w14:paraId="51FC0194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2F2988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507F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Suçu Bildirme: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939F2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10D659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1C0F5931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D55E29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Kadın Çocuk ve Sosyal Hizmet Danışma Hattı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8A2B1A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ALO 183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A466F9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5C51CC23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DD74A9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903A4">
              <w:rPr>
                <w:rFonts w:eastAsia="Times New Roman" w:cstheme="minorHAnsi"/>
                <w:sz w:val="24"/>
                <w:szCs w:val="24"/>
                <w:lang w:eastAsia="tr-TR"/>
              </w:rPr>
              <w:t>Alo Polis hattı</w:t>
            </w:r>
            <w:r w:rsidRPr="001507F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D1324A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ALO 155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8311E1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0EF6B751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114E07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İnsan Ticareti Mağdurları Acil Yardım ve İhbar Hattı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EB514A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ALO 157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9A4931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5D62F8E8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E36216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Jandarma Çocuk ve Kadın Kısım Amirliği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36C0A9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ALO 156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89BEA1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379615D2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F3D4FE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Aile İçi Şiddet Acil Yardım Hattı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3EDFA6" w14:textId="4BCACEE6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(0212) 656 96 96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16D92A" w14:textId="66DD1DBD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(0549) 656 96 96</w:t>
            </w:r>
          </w:p>
        </w:tc>
      </w:tr>
      <w:tr w:rsidR="00221C6A" w:rsidRPr="001507FC" w14:paraId="18C922D8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CFF2FB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507F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Hukuksal Destek: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A94AEC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ABFB01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6966F457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4A64E6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sz w:val="24"/>
                <w:szCs w:val="24"/>
              </w:rPr>
              <w:t>ÇAÇAV Çocuklara Yönelik Ticari Cinsel Sömürüyle Mücadele Ağı</w:t>
            </w: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0DC0BD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(0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1507FC">
              <w:rPr>
                <w:rFonts w:cstheme="minorHAnsi"/>
                <w:color w:val="000000"/>
                <w:sz w:val="24"/>
                <w:szCs w:val="24"/>
              </w:rPr>
              <w:t xml:space="preserve">12) </w:t>
            </w:r>
            <w:r>
              <w:rPr>
                <w:rFonts w:cstheme="minorHAnsi"/>
                <w:color w:val="000000"/>
                <w:sz w:val="24"/>
                <w:szCs w:val="24"/>
              </w:rPr>
              <w:t>431</w:t>
            </w:r>
            <w:r w:rsidRPr="001507F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  <w:r w:rsidRPr="001507F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A81629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4C3A0EDB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89874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1507FC">
              <w:rPr>
                <w:rFonts w:cstheme="minorHAnsi"/>
                <w:color w:val="333333"/>
                <w:sz w:val="24"/>
                <w:szCs w:val="24"/>
              </w:rPr>
              <w:t>Mülteci Hakları Merkezi Genel Hukuki Destek Hattı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Pr="001507F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BD74BB" w14:textId="3E703555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(0212) 292 48 30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33F491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15C5CD4E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58B987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507F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Rehabilitasyon ve Psikolojik Destek: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D2654E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854570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367897D9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61E73A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Çocuk İzlem Merkezleri (ÇİM)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F07743" w14:textId="71BAC74E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(0212) 404 15 00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1BFAFC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21C6A" w:rsidRPr="001507FC" w14:paraId="71EAAEFB" w14:textId="77777777" w:rsidTr="00221C6A">
        <w:trPr>
          <w:trHeight w:val="29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634E0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Kadın Meclisleri Danışma Hattı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07556F" w14:textId="257CFBD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507FC">
              <w:rPr>
                <w:rFonts w:cstheme="minorHAnsi"/>
                <w:color w:val="000000"/>
                <w:sz w:val="24"/>
                <w:szCs w:val="24"/>
              </w:rPr>
              <w:t>(0505) 004 11 98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6557EB" w14:textId="77777777" w:rsidR="00221C6A" w:rsidRPr="001507FC" w:rsidRDefault="00221C6A" w:rsidP="00221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EEFDFD0" w14:textId="77777777" w:rsidR="00DF73D8" w:rsidRPr="00DF73D8" w:rsidRDefault="00DF73D8" w:rsidP="00BB5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AF1B64" w14:textId="31E904D5" w:rsidR="000903A4" w:rsidRDefault="000903A4" w:rsidP="00DF73D8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09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6B2"/>
    <w:multiLevelType w:val="hybridMultilevel"/>
    <w:tmpl w:val="995E3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379"/>
    <w:multiLevelType w:val="hybridMultilevel"/>
    <w:tmpl w:val="47FCF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7C7"/>
    <w:multiLevelType w:val="multilevel"/>
    <w:tmpl w:val="2AA2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B5BF0"/>
    <w:multiLevelType w:val="multilevel"/>
    <w:tmpl w:val="BD9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657A9"/>
    <w:multiLevelType w:val="hybridMultilevel"/>
    <w:tmpl w:val="50320CB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4C05"/>
    <w:multiLevelType w:val="hybridMultilevel"/>
    <w:tmpl w:val="1C98774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135AC"/>
    <w:multiLevelType w:val="multilevel"/>
    <w:tmpl w:val="769A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3C7E46"/>
    <w:multiLevelType w:val="multilevel"/>
    <w:tmpl w:val="423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72F1A"/>
    <w:multiLevelType w:val="hybridMultilevel"/>
    <w:tmpl w:val="75965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F17E31"/>
    <w:multiLevelType w:val="hybridMultilevel"/>
    <w:tmpl w:val="CEC6425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5F"/>
    <w:rsid w:val="000477DC"/>
    <w:rsid w:val="000903A4"/>
    <w:rsid w:val="001441B5"/>
    <w:rsid w:val="001507FC"/>
    <w:rsid w:val="00221C6A"/>
    <w:rsid w:val="00302318"/>
    <w:rsid w:val="00357A3A"/>
    <w:rsid w:val="004E3400"/>
    <w:rsid w:val="005648A1"/>
    <w:rsid w:val="005A245F"/>
    <w:rsid w:val="00631937"/>
    <w:rsid w:val="00817DC7"/>
    <w:rsid w:val="009D58DB"/>
    <w:rsid w:val="00AB0BC5"/>
    <w:rsid w:val="00BB5946"/>
    <w:rsid w:val="00D456FD"/>
    <w:rsid w:val="00D82179"/>
    <w:rsid w:val="00D912EB"/>
    <w:rsid w:val="00DF73D8"/>
    <w:rsid w:val="00F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EDC36"/>
  <w15:chartTrackingRefBased/>
  <w15:docId w15:val="{521BF69A-3D04-460C-A675-070D127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090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03A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0903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0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0903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03A4"/>
    <w:rPr>
      <w:b/>
      <w:bCs/>
    </w:rPr>
  </w:style>
  <w:style w:type="paragraph" w:customStyle="1" w:styleId="parrot-item">
    <w:name w:val="parrot-item"/>
    <w:basedOn w:val="Normal"/>
    <w:rsid w:val="000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rrot-itemlink-text">
    <w:name w:val="parrot-item__link-text"/>
    <w:basedOn w:val="DefaultParagraphFont"/>
    <w:rsid w:val="000903A4"/>
  </w:style>
  <w:style w:type="character" w:customStyle="1" w:styleId="image-and-copyright-container">
    <w:name w:val="image-and-copyright-container"/>
    <w:basedOn w:val="DefaultParagraphFont"/>
    <w:rsid w:val="000903A4"/>
  </w:style>
  <w:style w:type="character" w:customStyle="1" w:styleId="off-screen">
    <w:name w:val="off-screen"/>
    <w:basedOn w:val="DefaultParagraphFont"/>
    <w:rsid w:val="000903A4"/>
  </w:style>
  <w:style w:type="character" w:customStyle="1" w:styleId="story-image-copyright">
    <w:name w:val="story-image-copyright"/>
    <w:basedOn w:val="DefaultParagraphFont"/>
    <w:rsid w:val="000903A4"/>
  </w:style>
  <w:style w:type="character" w:customStyle="1" w:styleId="media-captiontext">
    <w:name w:val="media-caption__text"/>
    <w:basedOn w:val="DefaultParagraphFont"/>
    <w:rsid w:val="000903A4"/>
  </w:style>
  <w:style w:type="paragraph" w:customStyle="1" w:styleId="sharetool">
    <w:name w:val="share__tool"/>
    <w:basedOn w:val="Normal"/>
    <w:rsid w:val="000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nit">
    <w:name w:val="unit"/>
    <w:basedOn w:val="Normal"/>
    <w:rsid w:val="000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ta">
    <w:name w:val="cta"/>
    <w:basedOn w:val="DefaultParagraphFont"/>
    <w:rsid w:val="000903A4"/>
  </w:style>
  <w:style w:type="paragraph" w:customStyle="1" w:styleId="top-stories-promo-storysummary">
    <w:name w:val="top-stories-promo-story__summary"/>
    <w:basedOn w:val="Normal"/>
    <w:rsid w:val="0009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DF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0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3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1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 Zara</dc:creator>
  <cp:keywords/>
  <dc:description/>
  <cp:lastModifiedBy>İsmail Anıl Usta</cp:lastModifiedBy>
  <cp:revision>4</cp:revision>
  <dcterms:created xsi:type="dcterms:W3CDTF">2019-10-28T15:07:00Z</dcterms:created>
  <dcterms:modified xsi:type="dcterms:W3CDTF">2019-11-12T15:54:00Z</dcterms:modified>
</cp:coreProperties>
</file>